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B72" w:rsidRDefault="004E3416">
      <w:pPr>
        <w:snapToGrid w:val="0"/>
        <w:jc w:val="center"/>
        <w:rPr>
          <w:rFonts w:ascii="方正小标宋简体" w:eastAsia="方正小标宋简体" w:hAnsi="方正小标宋简体"/>
          <w:color w:val="000000"/>
          <w:sz w:val="44"/>
          <w:szCs w:val="44"/>
        </w:rPr>
      </w:pPr>
      <w:bookmarkStart w:id="0" w:name="_GoBack"/>
      <w:bookmarkEnd w:id="0"/>
      <w:r>
        <w:rPr>
          <w:rFonts w:ascii="方正小标宋简体" w:eastAsia="方正小标宋简体" w:hAnsi="方正小标宋简体"/>
          <w:color w:val="000000"/>
          <w:sz w:val="44"/>
          <w:szCs w:val="44"/>
        </w:rPr>
        <w:t>分行e管家项目申报要求及范例</w:t>
      </w:r>
    </w:p>
    <w:p w:rsidR="00290B72" w:rsidRDefault="00290B72">
      <w:pPr>
        <w:snapToGrid w:val="0"/>
        <w:rPr>
          <w:rFonts w:ascii="仿宋" w:eastAsia="仿宋" w:hAnsi="仿宋"/>
          <w:color w:val="000000"/>
          <w:sz w:val="32"/>
          <w:szCs w:val="32"/>
        </w:rPr>
      </w:pPr>
    </w:p>
    <w:p w:rsidR="00290B72" w:rsidRDefault="004E3416">
      <w:pPr>
        <w:snapToGrid w:val="0"/>
        <w:ind w:firstLine="640"/>
        <w:rPr>
          <w:rFonts w:ascii="仿宋" w:eastAsia="仿宋" w:hAnsi="仿宋"/>
          <w:color w:val="000000"/>
          <w:sz w:val="32"/>
          <w:szCs w:val="32"/>
        </w:rPr>
      </w:pPr>
      <w:r>
        <w:rPr>
          <w:rFonts w:ascii="仿宋" w:eastAsia="仿宋" w:hAnsi="仿宋"/>
          <w:color w:val="000000"/>
          <w:sz w:val="32"/>
          <w:szCs w:val="32"/>
        </w:rPr>
        <w:t>一、内容完整性要求：分行在项目申报材料中应详细描述以下要素，请示内容应完整、准确：</w:t>
      </w:r>
    </w:p>
    <w:p w:rsidR="00290B72" w:rsidRDefault="004E3416">
      <w:pPr>
        <w:numPr>
          <w:ilvl w:val="0"/>
          <w:numId w:val="1"/>
        </w:numPr>
        <w:snapToGrid w:val="0"/>
        <w:ind w:left="1060"/>
        <w:rPr>
          <w:rFonts w:ascii="仿宋" w:eastAsia="仿宋" w:hAnsi="仿宋"/>
          <w:color w:val="000000"/>
          <w:sz w:val="32"/>
          <w:szCs w:val="32"/>
        </w:rPr>
      </w:pPr>
      <w:r>
        <w:rPr>
          <w:rFonts w:ascii="仿宋" w:eastAsia="仿宋" w:hAnsi="仿宋"/>
          <w:color w:val="000000"/>
          <w:sz w:val="32"/>
          <w:szCs w:val="32"/>
        </w:rPr>
        <w:t>客户基本情况（股东背景、行业地位、交易规模、利润率等）</w:t>
      </w:r>
    </w:p>
    <w:p w:rsidR="00290B72" w:rsidRDefault="004E3416">
      <w:pPr>
        <w:numPr>
          <w:ilvl w:val="0"/>
          <w:numId w:val="1"/>
        </w:numPr>
        <w:snapToGrid w:val="0"/>
        <w:ind w:left="1060"/>
        <w:rPr>
          <w:rFonts w:ascii="仿宋" w:eastAsia="仿宋" w:hAnsi="仿宋"/>
          <w:color w:val="000000"/>
          <w:sz w:val="32"/>
          <w:szCs w:val="32"/>
        </w:rPr>
      </w:pPr>
      <w:r>
        <w:rPr>
          <w:rFonts w:ascii="仿宋" w:eastAsia="仿宋" w:hAnsi="仿宋"/>
          <w:color w:val="000000"/>
          <w:sz w:val="32"/>
          <w:szCs w:val="32"/>
        </w:rPr>
        <w:t>业务经营许可（行业牌照、ICP证等）</w:t>
      </w:r>
    </w:p>
    <w:p w:rsidR="00290B72" w:rsidRDefault="004E3416">
      <w:pPr>
        <w:numPr>
          <w:ilvl w:val="0"/>
          <w:numId w:val="1"/>
        </w:numPr>
        <w:snapToGrid w:val="0"/>
        <w:ind w:left="1060"/>
        <w:rPr>
          <w:rFonts w:ascii="仿宋" w:eastAsia="仿宋" w:hAnsi="仿宋"/>
          <w:color w:val="000000"/>
          <w:sz w:val="32"/>
          <w:szCs w:val="32"/>
        </w:rPr>
      </w:pPr>
      <w:r>
        <w:rPr>
          <w:rFonts w:ascii="仿宋" w:eastAsia="仿宋" w:hAnsi="仿宋"/>
          <w:color w:val="000000"/>
          <w:sz w:val="32"/>
          <w:szCs w:val="32"/>
        </w:rPr>
        <w:t>业务场景</w:t>
      </w:r>
    </w:p>
    <w:p w:rsidR="00290B72" w:rsidRDefault="004E3416">
      <w:pPr>
        <w:numPr>
          <w:ilvl w:val="0"/>
          <w:numId w:val="1"/>
        </w:numPr>
        <w:snapToGrid w:val="0"/>
        <w:ind w:left="1060"/>
        <w:rPr>
          <w:rFonts w:ascii="仿宋" w:eastAsia="仿宋" w:hAnsi="仿宋"/>
          <w:color w:val="000000"/>
          <w:sz w:val="32"/>
          <w:szCs w:val="32"/>
        </w:rPr>
      </w:pPr>
      <w:r>
        <w:rPr>
          <w:rFonts w:ascii="仿宋" w:eastAsia="仿宋" w:hAnsi="仿宋"/>
          <w:color w:val="000000"/>
          <w:sz w:val="32"/>
          <w:szCs w:val="32"/>
        </w:rPr>
        <w:t>前端收单渠道</w:t>
      </w:r>
    </w:p>
    <w:p w:rsidR="00290B72" w:rsidRDefault="004E3416">
      <w:pPr>
        <w:numPr>
          <w:ilvl w:val="0"/>
          <w:numId w:val="1"/>
        </w:numPr>
        <w:snapToGrid w:val="0"/>
        <w:ind w:left="1060"/>
        <w:rPr>
          <w:rFonts w:ascii="仿宋" w:eastAsia="仿宋" w:hAnsi="仿宋"/>
          <w:color w:val="000000"/>
          <w:sz w:val="32"/>
          <w:szCs w:val="32"/>
        </w:rPr>
      </w:pPr>
      <w:r>
        <w:rPr>
          <w:rFonts w:ascii="仿宋" w:eastAsia="仿宋" w:hAnsi="仿宋"/>
          <w:color w:val="000000"/>
          <w:sz w:val="32"/>
          <w:szCs w:val="32"/>
        </w:rPr>
        <w:t>账户结构，含资金流和信息流图示</w:t>
      </w:r>
    </w:p>
    <w:p w:rsidR="00290B72" w:rsidRDefault="004E3416">
      <w:pPr>
        <w:numPr>
          <w:ilvl w:val="0"/>
          <w:numId w:val="1"/>
        </w:numPr>
        <w:snapToGrid w:val="0"/>
        <w:ind w:left="1060"/>
        <w:rPr>
          <w:rFonts w:ascii="仿宋" w:eastAsia="仿宋" w:hAnsi="仿宋"/>
          <w:color w:val="000000"/>
          <w:sz w:val="32"/>
          <w:szCs w:val="32"/>
        </w:rPr>
      </w:pPr>
      <w:r>
        <w:rPr>
          <w:rFonts w:ascii="仿宋" w:eastAsia="仿宋" w:hAnsi="仿宋"/>
          <w:color w:val="000000"/>
          <w:sz w:val="32"/>
          <w:szCs w:val="32"/>
        </w:rPr>
        <w:t>用户角色</w:t>
      </w:r>
    </w:p>
    <w:p w:rsidR="00290B72" w:rsidRDefault="004E3416">
      <w:pPr>
        <w:numPr>
          <w:ilvl w:val="0"/>
          <w:numId w:val="1"/>
        </w:numPr>
        <w:snapToGrid w:val="0"/>
        <w:ind w:left="1060"/>
        <w:rPr>
          <w:rFonts w:ascii="仿宋" w:eastAsia="仿宋" w:hAnsi="仿宋"/>
          <w:color w:val="000000"/>
          <w:sz w:val="32"/>
          <w:szCs w:val="32"/>
        </w:rPr>
      </w:pPr>
      <w:r>
        <w:rPr>
          <w:rFonts w:ascii="仿宋" w:eastAsia="仿宋" w:hAnsi="仿宋"/>
          <w:color w:val="000000"/>
          <w:sz w:val="32"/>
          <w:szCs w:val="32"/>
        </w:rPr>
        <w:t>资金类型</w:t>
      </w:r>
    </w:p>
    <w:p w:rsidR="00290B72" w:rsidRDefault="004E3416">
      <w:pPr>
        <w:numPr>
          <w:ilvl w:val="0"/>
          <w:numId w:val="1"/>
        </w:numPr>
        <w:snapToGrid w:val="0"/>
        <w:ind w:left="1060"/>
        <w:rPr>
          <w:rFonts w:ascii="仿宋" w:eastAsia="仿宋" w:hAnsi="仿宋"/>
          <w:color w:val="000000"/>
          <w:sz w:val="32"/>
          <w:szCs w:val="32"/>
        </w:rPr>
      </w:pPr>
      <w:r>
        <w:rPr>
          <w:rFonts w:ascii="仿宋" w:eastAsia="仿宋" w:hAnsi="仿宋"/>
          <w:color w:val="000000"/>
          <w:sz w:val="32"/>
          <w:szCs w:val="32"/>
        </w:rPr>
        <w:t>申请开通的特殊功能（如电子回执、白名单、微信查询、短信验证通知等）</w:t>
      </w:r>
    </w:p>
    <w:p w:rsidR="00290B72" w:rsidRDefault="004E3416">
      <w:pPr>
        <w:numPr>
          <w:ilvl w:val="0"/>
          <w:numId w:val="1"/>
        </w:numPr>
        <w:snapToGrid w:val="0"/>
        <w:ind w:left="1060"/>
        <w:rPr>
          <w:rFonts w:ascii="仿宋" w:eastAsia="仿宋" w:hAnsi="仿宋"/>
          <w:color w:val="000000"/>
          <w:sz w:val="32"/>
          <w:szCs w:val="32"/>
        </w:rPr>
      </w:pPr>
      <w:r>
        <w:rPr>
          <w:rFonts w:ascii="仿宋" w:eastAsia="仿宋" w:hAnsi="仿宋"/>
          <w:color w:val="000000"/>
          <w:sz w:val="32"/>
          <w:szCs w:val="32"/>
        </w:rPr>
        <w:t>预期业务收益（存款、获客、中收）需提供测算依据</w:t>
      </w:r>
    </w:p>
    <w:p w:rsidR="00290B72" w:rsidRDefault="004E3416">
      <w:pPr>
        <w:numPr>
          <w:ilvl w:val="0"/>
          <w:numId w:val="1"/>
        </w:numPr>
        <w:snapToGrid w:val="0"/>
        <w:ind w:left="1060"/>
        <w:rPr>
          <w:rFonts w:ascii="仿宋" w:eastAsia="仿宋" w:hAnsi="仿宋"/>
          <w:color w:val="000000"/>
          <w:sz w:val="32"/>
          <w:szCs w:val="32"/>
        </w:rPr>
      </w:pPr>
      <w:r>
        <w:rPr>
          <w:rFonts w:ascii="仿宋" w:eastAsia="仿宋" w:hAnsi="仿宋"/>
          <w:color w:val="000000"/>
          <w:sz w:val="32"/>
          <w:szCs w:val="32"/>
        </w:rPr>
        <w:t>业务风险分析</w:t>
      </w:r>
    </w:p>
    <w:p w:rsidR="00290B72" w:rsidRDefault="004E3416">
      <w:pPr>
        <w:snapToGrid w:val="0"/>
        <w:ind w:firstLine="640"/>
        <w:rPr>
          <w:rFonts w:ascii="仿宋" w:eastAsia="仿宋" w:hAnsi="仿宋"/>
          <w:color w:val="000000"/>
          <w:sz w:val="32"/>
          <w:szCs w:val="32"/>
        </w:rPr>
      </w:pPr>
      <w:r>
        <w:rPr>
          <w:rFonts w:ascii="仿宋" w:eastAsia="仿宋" w:hAnsi="仿宋"/>
          <w:color w:val="000000"/>
          <w:sz w:val="32"/>
          <w:szCs w:val="32"/>
        </w:rPr>
        <w:t>二、材料真实性要求：对于商户提供的各类数据，如交易规模、利润等，分行应切实做好尽职调查工作，必要时可要求商户提供相关证明材料。对于分行收益预测数据，如中收、存款沉淀等，请示中应详细写明测算依据，避免数据夸大。</w:t>
      </w:r>
    </w:p>
    <w:p w:rsidR="00290B72" w:rsidRDefault="00290B72">
      <w:pPr>
        <w:snapToGrid w:val="0"/>
        <w:rPr>
          <w:rFonts w:ascii="仿宋" w:eastAsia="仿宋" w:hAnsi="仿宋"/>
          <w:color w:val="000000"/>
          <w:sz w:val="32"/>
          <w:szCs w:val="32"/>
        </w:rPr>
      </w:pPr>
    </w:p>
    <w:p w:rsidR="00290B72" w:rsidRDefault="004E3416">
      <w:pPr>
        <w:snapToGrid w:val="0"/>
        <w:rPr>
          <w:rFonts w:ascii="方正小标宋简体" w:eastAsia="方正小标宋简体" w:hAnsi="方正小标宋简体"/>
          <w:color w:val="000000"/>
          <w:sz w:val="44"/>
          <w:szCs w:val="44"/>
        </w:rPr>
      </w:pPr>
      <w:r>
        <w:rPr>
          <w:rFonts w:ascii="方正小标宋简体" w:eastAsia="方正小标宋简体" w:hAnsi="方正小标宋简体"/>
          <w:color w:val="000000"/>
          <w:sz w:val="44"/>
          <w:szCs w:val="44"/>
        </w:rPr>
        <w:t>示范案例：</w:t>
      </w:r>
    </w:p>
    <w:p w:rsidR="00290B72" w:rsidRDefault="00290B72">
      <w:pPr>
        <w:snapToGrid w:val="0"/>
        <w:ind w:firstLine="640"/>
        <w:rPr>
          <w:rFonts w:ascii="方正小标宋简体" w:eastAsia="方正小标宋简体" w:hAnsi="方正小标宋简体"/>
          <w:color w:val="000000"/>
          <w:sz w:val="44"/>
          <w:szCs w:val="44"/>
        </w:rPr>
      </w:pPr>
    </w:p>
    <w:p w:rsidR="00290B72" w:rsidRDefault="004E3416">
      <w:pPr>
        <w:snapToGrid w:val="0"/>
        <w:jc w:val="center"/>
        <w:rPr>
          <w:rFonts w:ascii="宋体" w:eastAsia="宋体" w:hAnsi="宋体"/>
          <w:b/>
          <w:bCs/>
          <w:color w:val="000000"/>
          <w:sz w:val="32"/>
          <w:szCs w:val="32"/>
        </w:rPr>
      </w:pPr>
      <w:r>
        <w:rPr>
          <w:rFonts w:ascii="宋体" w:eastAsia="宋体" w:hAnsi="宋体"/>
          <w:b/>
          <w:bCs/>
          <w:color w:val="000000"/>
          <w:sz w:val="32"/>
          <w:szCs w:val="32"/>
        </w:rPr>
        <w:t>关于XX分行与XX有限公司开展e管家业务</w:t>
      </w:r>
      <w:r>
        <w:rPr>
          <w:rFonts w:ascii="宋体" w:eastAsia="宋体" w:hAnsi="宋体"/>
          <w:b/>
          <w:bCs/>
          <w:color w:val="000000"/>
          <w:sz w:val="32"/>
          <w:szCs w:val="32"/>
          <w:shd w:val="clear" w:color="auto" w:fill="FFFF00"/>
        </w:rPr>
        <w:t>（电商/会员/居间场景）</w:t>
      </w:r>
      <w:r>
        <w:rPr>
          <w:rFonts w:ascii="宋体" w:eastAsia="宋体" w:hAnsi="宋体"/>
          <w:b/>
          <w:bCs/>
          <w:color w:val="000000"/>
          <w:sz w:val="32"/>
          <w:szCs w:val="32"/>
        </w:rPr>
        <w:t>合作的请示</w:t>
      </w:r>
    </w:p>
    <w:p w:rsidR="00290B72" w:rsidRDefault="004E3416">
      <w:pPr>
        <w:snapToGrid w:val="0"/>
        <w:rPr>
          <w:rFonts w:ascii="仿宋" w:eastAsia="仿宋" w:hAnsi="仿宋"/>
          <w:color w:val="000000"/>
          <w:sz w:val="28"/>
          <w:szCs w:val="28"/>
        </w:rPr>
      </w:pPr>
      <w:r>
        <w:rPr>
          <w:rFonts w:ascii="仿宋" w:eastAsia="仿宋" w:hAnsi="仿宋"/>
          <w:color w:val="000000"/>
          <w:sz w:val="28"/>
          <w:szCs w:val="28"/>
        </w:rPr>
        <w:t>总行：</w:t>
      </w:r>
    </w:p>
    <w:p w:rsidR="00290B72" w:rsidRDefault="004E3416">
      <w:pPr>
        <w:snapToGrid w:val="0"/>
        <w:ind w:firstLineChars="200" w:firstLine="560"/>
        <w:rPr>
          <w:rFonts w:ascii="仿宋" w:eastAsia="仿宋" w:hAnsi="仿宋"/>
          <w:color w:val="000000"/>
          <w:sz w:val="28"/>
          <w:szCs w:val="28"/>
        </w:rPr>
      </w:pPr>
      <w:r>
        <w:rPr>
          <w:rFonts w:ascii="仿宋" w:eastAsia="仿宋" w:hAnsi="仿宋"/>
          <w:color w:val="000000"/>
          <w:sz w:val="28"/>
          <w:szCs w:val="28"/>
        </w:rPr>
        <w:t>为更好推进我行业务发展，依托于中信银行e管家产品，拓展线上获客经营场景，获取结算性存款及优质零售客户来源，XX分行拟与XX股份有限公司开展e管家业务合作，为客户提供下游经销商会员资金收付管理及分账结算服务，具体情况如下：</w:t>
      </w:r>
    </w:p>
    <w:p w:rsidR="00290B72" w:rsidRDefault="004E3416">
      <w:pPr>
        <w:numPr>
          <w:ilvl w:val="0"/>
          <w:numId w:val="2"/>
        </w:numPr>
        <w:snapToGrid w:val="0"/>
        <w:ind w:left="1280" w:hanging="720"/>
        <w:rPr>
          <w:rFonts w:ascii="仿宋" w:eastAsia="仿宋" w:hAnsi="仿宋"/>
          <w:b/>
          <w:bCs/>
          <w:color w:val="000000"/>
          <w:sz w:val="28"/>
          <w:szCs w:val="28"/>
        </w:rPr>
      </w:pPr>
      <w:r>
        <w:rPr>
          <w:rFonts w:ascii="仿宋" w:eastAsia="仿宋" w:hAnsi="仿宋"/>
          <w:b/>
          <w:bCs/>
          <w:color w:val="000000"/>
          <w:sz w:val="28"/>
          <w:szCs w:val="28"/>
        </w:rPr>
        <w:t>合作商户简介</w:t>
      </w:r>
    </w:p>
    <w:p w:rsidR="00290B72" w:rsidRDefault="004E3416">
      <w:pPr>
        <w:ind w:firstLineChars="200" w:firstLine="560"/>
        <w:rPr>
          <w:rFonts w:ascii="仿宋" w:eastAsia="仿宋" w:hAnsi="仿宋"/>
          <w:kern w:val="0"/>
          <w:sz w:val="28"/>
          <w:szCs w:val="28"/>
        </w:rPr>
      </w:pPr>
      <w:r>
        <w:rPr>
          <w:rFonts w:ascii="仿宋" w:eastAsia="仿宋" w:hAnsi="仿宋" w:hint="eastAsia"/>
          <w:kern w:val="0"/>
          <w:sz w:val="28"/>
          <w:szCs w:val="28"/>
        </w:rPr>
        <w:lastRenderedPageBreak/>
        <w:t>青岛文化产权交易中心有限公司成立于2016年8月5日，是由青岛市人民政府批准、青岛广电集团发起成立的国有控股企业，注册资本3000万元(实缴）。中心位于国家级财富管理金融综合改革试验区核心地带-金家岭财富中心，是一家全国性文化资产、权益综合金融交易服务平台，也是青岛市唯一 一家文化权益类交易平台。青岛文化产权交易中心依托政府资源，坚持市场化、规范化运作，主营业务为知识产权交易、基于区块链技术的艺术品和文创产品交易、电影电视剧IP及衍生品交易、文化金融服务、文化旅游服务、文化教育服务、文化艺术园区小镇开发运营等。</w:t>
      </w:r>
    </w:p>
    <w:p w:rsidR="00290B72" w:rsidRDefault="00290B72">
      <w:pPr>
        <w:widowControl/>
        <w:shd w:val="clear" w:color="auto" w:fill="FFFFFF"/>
        <w:jc w:val="left"/>
        <w:rPr>
          <w:rFonts w:ascii="Tahoma" w:eastAsia="Tahoma" w:hAnsi="Tahoma" w:cs="Tahoma"/>
          <w:color w:val="666666"/>
          <w:szCs w:val="21"/>
        </w:rPr>
      </w:pPr>
    </w:p>
    <w:p w:rsidR="00290B72" w:rsidRDefault="004E3416">
      <w:pPr>
        <w:snapToGrid w:val="0"/>
        <w:ind w:firstLineChars="200" w:firstLine="560"/>
        <w:rPr>
          <w:rFonts w:ascii="仿宋" w:eastAsia="仿宋" w:hAnsi="仿宋"/>
          <w:color w:val="000000"/>
          <w:sz w:val="28"/>
          <w:szCs w:val="28"/>
        </w:rPr>
      </w:pPr>
      <w:r>
        <w:rPr>
          <w:rFonts w:ascii="仿宋" w:eastAsia="仿宋" w:hAnsi="仿宋"/>
          <w:color w:val="000000"/>
          <w:sz w:val="28"/>
          <w:szCs w:val="28"/>
        </w:rPr>
        <w:t xml:space="preserve"> </w:t>
      </w:r>
    </w:p>
    <w:p w:rsidR="00290B72" w:rsidRDefault="004E3416">
      <w:pPr>
        <w:numPr>
          <w:ilvl w:val="0"/>
          <w:numId w:val="2"/>
        </w:numPr>
        <w:snapToGrid w:val="0"/>
        <w:ind w:left="1280" w:hanging="720"/>
        <w:rPr>
          <w:rFonts w:ascii="仿宋" w:eastAsia="仿宋" w:hAnsi="仿宋"/>
          <w:b/>
          <w:bCs/>
          <w:color w:val="000000"/>
          <w:sz w:val="28"/>
          <w:szCs w:val="28"/>
        </w:rPr>
      </w:pPr>
      <w:r>
        <w:rPr>
          <w:rFonts w:ascii="仿宋" w:eastAsia="仿宋" w:hAnsi="仿宋"/>
          <w:b/>
          <w:bCs/>
          <w:color w:val="000000"/>
          <w:sz w:val="28"/>
          <w:szCs w:val="28"/>
        </w:rPr>
        <w:t>业务合作事项</w:t>
      </w:r>
    </w:p>
    <w:p w:rsidR="00290B72" w:rsidRDefault="004E3416">
      <w:pPr>
        <w:snapToGrid w:val="0"/>
        <w:ind w:firstLineChars="200" w:firstLine="560"/>
        <w:rPr>
          <w:rFonts w:ascii="仿宋" w:eastAsia="仿宋" w:hAnsi="仿宋"/>
          <w:color w:val="000000"/>
          <w:sz w:val="28"/>
          <w:szCs w:val="28"/>
        </w:rPr>
      </w:pPr>
      <w:r>
        <w:rPr>
          <w:rFonts w:ascii="仿宋" w:eastAsia="仿宋" w:hAnsi="仿宋"/>
          <w:color w:val="000000"/>
          <w:sz w:val="28"/>
          <w:szCs w:val="28"/>
        </w:rPr>
        <w:t>XX目前采销模式主要通过分布在各个省市的交易平台连接上游养殖农户和下游经销商（主要为个体户）。上游养殖户为委托代养模式，XX提供鸡苗及饲料由合作农户按照标准化要求进行养殖，达到销售条件后养殖户按要求交付至交易平台，下游经销商有批发采购需求一般提前进行订货，按约定时间到交易平台进行提货并支付货款。</w:t>
      </w:r>
    </w:p>
    <w:p w:rsidR="00290B72" w:rsidRDefault="004E3416">
      <w:pPr>
        <w:snapToGrid w:val="0"/>
        <w:ind w:firstLineChars="200" w:firstLine="560"/>
        <w:rPr>
          <w:rFonts w:ascii="仿宋" w:eastAsia="仿宋" w:hAnsi="仿宋"/>
          <w:color w:val="000000"/>
          <w:sz w:val="28"/>
          <w:szCs w:val="28"/>
        </w:rPr>
      </w:pPr>
      <w:r>
        <w:rPr>
          <w:rFonts w:ascii="仿宋" w:eastAsia="仿宋" w:hAnsi="仿宋"/>
          <w:color w:val="000000"/>
          <w:sz w:val="28"/>
          <w:szCs w:val="28"/>
        </w:rPr>
        <w:t>按照传统业务模式，公司销售流程中会产生大量的纸质单据和工作交接流程，支付环节与订单、出库等环节相互断开，造成了大量的人工核对、交接工作量，并且导致对账繁琐、容易出错。因此，公司启动了集团集中财务共享中心建设，将全国交易平台的订单管理及支付流程统一集中至集团后台处理，前端仅负责仓储及出入库管理，以提高业务处理效率，减少人力成本投入。</w:t>
      </w:r>
    </w:p>
    <w:p w:rsidR="00290B72" w:rsidRDefault="004E3416">
      <w:pPr>
        <w:snapToGrid w:val="0"/>
        <w:ind w:firstLineChars="200" w:firstLine="560"/>
        <w:rPr>
          <w:rFonts w:ascii="仿宋" w:eastAsia="仿宋" w:hAnsi="仿宋"/>
          <w:color w:val="000000"/>
          <w:sz w:val="28"/>
          <w:szCs w:val="28"/>
        </w:rPr>
      </w:pPr>
      <w:r>
        <w:rPr>
          <w:rFonts w:ascii="仿宋" w:eastAsia="仿宋" w:hAnsi="仿宋"/>
          <w:color w:val="000000"/>
          <w:sz w:val="28"/>
          <w:szCs w:val="28"/>
        </w:rPr>
        <w:t>我行在详细了解客户需求后，经过多次需求沟通，为客户制定了基于e管家系统的经销商收款及资金分账解决方案，具体方案内容为：</w:t>
      </w:r>
    </w:p>
    <w:p w:rsidR="00290B72" w:rsidRDefault="004E3416">
      <w:pPr>
        <w:snapToGrid w:val="0"/>
        <w:ind w:firstLine="560"/>
        <w:rPr>
          <w:rFonts w:ascii="仿宋" w:eastAsia="仿宋" w:hAnsi="仿宋"/>
          <w:color w:val="000000"/>
          <w:sz w:val="28"/>
          <w:szCs w:val="28"/>
        </w:rPr>
      </w:pPr>
      <w:r>
        <w:rPr>
          <w:rFonts w:ascii="仿宋" w:eastAsia="仿宋" w:hAnsi="仿宋"/>
          <w:color w:val="000000"/>
          <w:sz w:val="28"/>
          <w:szCs w:val="28"/>
        </w:rPr>
        <w:t>（1）XX平台与我行e管家系统对接后，其下游经销商在线注册开通e管家用户登记簿并充值存入订货预付款；</w:t>
      </w:r>
    </w:p>
    <w:p w:rsidR="00290B72" w:rsidRDefault="004E3416">
      <w:pPr>
        <w:snapToGrid w:val="0"/>
        <w:ind w:firstLine="560"/>
        <w:rPr>
          <w:rFonts w:ascii="仿宋" w:eastAsia="仿宋" w:hAnsi="仿宋"/>
          <w:color w:val="000000"/>
          <w:sz w:val="28"/>
          <w:szCs w:val="28"/>
        </w:rPr>
      </w:pPr>
      <w:r>
        <w:rPr>
          <w:rFonts w:ascii="仿宋" w:eastAsia="仿宋" w:hAnsi="仿宋"/>
          <w:color w:val="000000"/>
          <w:sz w:val="28"/>
          <w:szCs w:val="28"/>
        </w:rPr>
        <w:t>（2）XX旗下各地实际提供商品的子公司在e管家注册收款方登记簿，用于归集其应收货款；</w:t>
      </w:r>
    </w:p>
    <w:p w:rsidR="00290B72" w:rsidRDefault="004E3416">
      <w:pPr>
        <w:snapToGrid w:val="0"/>
        <w:ind w:firstLine="560"/>
        <w:rPr>
          <w:rFonts w:ascii="仿宋" w:eastAsia="仿宋" w:hAnsi="仿宋"/>
          <w:color w:val="000000"/>
          <w:sz w:val="28"/>
          <w:szCs w:val="28"/>
        </w:rPr>
      </w:pPr>
      <w:r>
        <w:rPr>
          <w:rFonts w:ascii="仿宋" w:eastAsia="仿宋" w:hAnsi="仿宋"/>
          <w:color w:val="000000"/>
          <w:sz w:val="28"/>
          <w:szCs w:val="28"/>
        </w:rPr>
        <w:t>（3）经销商订货过程中，完成商品分拣、计数、称重等流程后，订单系统计算实际应收款项生成支付单，并从对应经销商用户登记簿</w:t>
      </w:r>
      <w:r>
        <w:rPr>
          <w:rFonts w:ascii="仿宋" w:eastAsia="仿宋" w:hAnsi="仿宋"/>
          <w:color w:val="000000"/>
          <w:sz w:val="28"/>
          <w:szCs w:val="28"/>
        </w:rPr>
        <w:lastRenderedPageBreak/>
        <w:t xml:space="preserve">中进行扣款； </w:t>
      </w:r>
    </w:p>
    <w:p w:rsidR="00290B72" w:rsidRDefault="004E3416">
      <w:pPr>
        <w:snapToGrid w:val="0"/>
        <w:ind w:firstLine="560"/>
        <w:rPr>
          <w:rFonts w:ascii="仿宋" w:eastAsia="仿宋" w:hAnsi="仿宋"/>
          <w:color w:val="000000"/>
          <w:sz w:val="28"/>
          <w:szCs w:val="28"/>
        </w:rPr>
      </w:pPr>
      <w:r>
        <w:rPr>
          <w:rFonts w:ascii="仿宋" w:eastAsia="仿宋" w:hAnsi="仿宋"/>
          <w:color w:val="000000"/>
          <w:sz w:val="28"/>
          <w:szCs w:val="28"/>
        </w:rPr>
        <w:t>（4）扣款成功后，平台向仓库发出放行指令，经销商即可顺利完成商品出库；</w:t>
      </w:r>
    </w:p>
    <w:p w:rsidR="00290B72" w:rsidRDefault="004E3416">
      <w:pPr>
        <w:snapToGrid w:val="0"/>
        <w:ind w:firstLine="560"/>
        <w:rPr>
          <w:rFonts w:ascii="仿宋" w:eastAsia="仿宋" w:hAnsi="仿宋"/>
          <w:color w:val="000000"/>
          <w:sz w:val="28"/>
          <w:szCs w:val="28"/>
        </w:rPr>
      </w:pPr>
      <w:r>
        <w:rPr>
          <w:rFonts w:ascii="仿宋" w:eastAsia="仿宋" w:hAnsi="仿宋"/>
          <w:color w:val="000000"/>
          <w:sz w:val="28"/>
          <w:szCs w:val="28"/>
        </w:rPr>
        <w:t>（5）如因余额不足等原因扣款失败，则经销商需补足余额再次发起扣款，方可完成商品出库；</w:t>
      </w:r>
    </w:p>
    <w:p w:rsidR="00290B72" w:rsidRDefault="004E3416">
      <w:pPr>
        <w:snapToGrid w:val="0"/>
        <w:ind w:firstLine="560"/>
        <w:rPr>
          <w:rFonts w:ascii="仿宋" w:eastAsia="仿宋" w:hAnsi="仿宋"/>
          <w:color w:val="000000"/>
          <w:sz w:val="28"/>
          <w:szCs w:val="28"/>
        </w:rPr>
      </w:pPr>
      <w:r>
        <w:rPr>
          <w:rFonts w:ascii="仿宋" w:eastAsia="仿宋" w:hAnsi="仿宋"/>
          <w:color w:val="000000"/>
          <w:sz w:val="28"/>
          <w:szCs w:val="28"/>
        </w:rPr>
        <w:t>（6）从经销商登记簿中扣取的资金根据商品归属情况将转至对应的XX各地子公司登记簿，并最终提现至子公司实体账户。</w:t>
      </w:r>
    </w:p>
    <w:p w:rsidR="00290B72" w:rsidRDefault="004E3416">
      <w:pPr>
        <w:snapToGrid w:val="0"/>
        <w:ind w:firstLine="560"/>
        <w:rPr>
          <w:rFonts w:ascii="仿宋" w:eastAsia="仿宋" w:hAnsi="仿宋"/>
          <w:color w:val="000000"/>
          <w:sz w:val="28"/>
          <w:szCs w:val="28"/>
        </w:rPr>
      </w:pPr>
      <w:r>
        <w:rPr>
          <w:rFonts w:ascii="仿宋" w:eastAsia="仿宋" w:hAnsi="仿宋"/>
          <w:color w:val="000000"/>
          <w:sz w:val="28"/>
          <w:szCs w:val="28"/>
        </w:rPr>
        <w:t>账户及资金流向如下：</w:t>
      </w:r>
    </w:p>
    <w:p w:rsidR="00290B72" w:rsidRDefault="004E3416">
      <w:pPr>
        <w:snapToGrid w:val="0"/>
        <w:rPr>
          <w:rFonts w:ascii="仿宋" w:eastAsia="仿宋" w:hAnsi="仿宋"/>
          <w:color w:val="000000"/>
          <w:sz w:val="28"/>
          <w:szCs w:val="28"/>
        </w:rPr>
      </w:pPr>
      <w:r>
        <w:rPr>
          <w:rFonts w:ascii="微软雅黑" w:eastAsia="微软雅黑" w:hAnsi="微软雅黑"/>
          <w:noProof/>
          <w:color w:val="000000"/>
          <w:szCs w:val="21"/>
        </w:rPr>
        <w:drawing>
          <wp:inline distT="0" distB="0" distL="0" distR="0">
            <wp:extent cx="5267325" cy="1933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67325" cy="1933575"/>
                    </a:xfrm>
                    <a:prstGeom prst="rect">
                      <a:avLst/>
                    </a:prstGeom>
                  </pic:spPr>
                </pic:pic>
              </a:graphicData>
            </a:graphic>
          </wp:inline>
        </w:drawing>
      </w:r>
    </w:p>
    <w:p w:rsidR="00290B72" w:rsidRDefault="004E3416">
      <w:pPr>
        <w:snapToGrid w:val="0"/>
        <w:ind w:firstLineChars="200" w:firstLine="560"/>
        <w:rPr>
          <w:rFonts w:ascii="仿宋" w:eastAsia="仿宋" w:hAnsi="仿宋"/>
          <w:color w:val="000000"/>
          <w:sz w:val="28"/>
          <w:szCs w:val="28"/>
        </w:rPr>
      </w:pPr>
      <w:r>
        <w:rPr>
          <w:rFonts w:ascii="仿宋" w:eastAsia="仿宋" w:hAnsi="仿宋"/>
          <w:color w:val="000000"/>
          <w:sz w:val="28"/>
          <w:szCs w:val="28"/>
        </w:rPr>
        <w:t>本项目其他相关要点如下：</w:t>
      </w:r>
    </w:p>
    <w:p w:rsidR="00290B72" w:rsidRDefault="004E3416">
      <w:pPr>
        <w:snapToGrid w:val="0"/>
        <w:ind w:firstLineChars="200" w:firstLine="560"/>
        <w:rPr>
          <w:rFonts w:ascii="仿宋" w:eastAsia="仿宋" w:hAnsi="仿宋"/>
          <w:b/>
          <w:bCs/>
          <w:color w:val="000000"/>
          <w:sz w:val="28"/>
          <w:szCs w:val="28"/>
          <w:shd w:val="clear" w:color="auto" w:fill="FFFF00"/>
        </w:rPr>
      </w:pPr>
      <w:r>
        <w:rPr>
          <w:rFonts w:ascii="仿宋" w:eastAsia="仿宋" w:hAnsi="仿宋"/>
          <w:color w:val="000000"/>
          <w:sz w:val="28"/>
          <w:szCs w:val="28"/>
        </w:rPr>
        <w:t>（1）经与客户初步沟通，目前计划</w:t>
      </w:r>
      <w:r>
        <w:rPr>
          <w:rFonts w:ascii="仿宋" w:eastAsia="仿宋" w:hAnsi="仿宋"/>
          <w:b/>
          <w:bCs/>
          <w:color w:val="000000"/>
          <w:sz w:val="28"/>
          <w:szCs w:val="28"/>
          <w:u w:val="single"/>
          <w:shd w:val="clear" w:color="auto" w:fill="FFFF00"/>
        </w:rPr>
        <w:t>接入e管家系统居间场景，使用银行内部账户作为交易资金账户；</w:t>
      </w:r>
    </w:p>
    <w:p w:rsidR="00290B72" w:rsidRDefault="004E3416">
      <w:pPr>
        <w:snapToGrid w:val="0"/>
        <w:ind w:firstLineChars="200" w:firstLine="560"/>
        <w:rPr>
          <w:rFonts w:ascii="仿宋" w:eastAsia="仿宋" w:hAnsi="仿宋"/>
          <w:color w:val="000000"/>
          <w:sz w:val="28"/>
          <w:szCs w:val="28"/>
        </w:rPr>
      </w:pPr>
      <w:r>
        <w:rPr>
          <w:rFonts w:ascii="仿宋" w:eastAsia="仿宋" w:hAnsi="仿宋"/>
          <w:color w:val="000000"/>
          <w:sz w:val="28"/>
          <w:szCs w:val="28"/>
        </w:rPr>
        <w:t>（2）平台卖方（收款方）为XX集团旗下实际提供商品的子公司，分布于全国各地，目前约20余家，性质为工商企业，均将开立我行对公结算账户；</w:t>
      </w:r>
    </w:p>
    <w:p w:rsidR="00290B72" w:rsidRDefault="004E3416">
      <w:pPr>
        <w:snapToGrid w:val="0"/>
        <w:ind w:firstLineChars="200" w:firstLine="560"/>
        <w:rPr>
          <w:rFonts w:ascii="仿宋" w:eastAsia="仿宋" w:hAnsi="仿宋"/>
          <w:color w:val="000000"/>
          <w:sz w:val="28"/>
          <w:szCs w:val="28"/>
        </w:rPr>
      </w:pPr>
      <w:r>
        <w:rPr>
          <w:rFonts w:ascii="仿宋" w:eastAsia="仿宋" w:hAnsi="仿宋"/>
          <w:color w:val="000000"/>
          <w:sz w:val="28"/>
          <w:szCs w:val="28"/>
        </w:rPr>
        <w:t>（3）平台买方（付款方）主要为XX长期合作的下游经销商，目前数量约6000家，绝大部分为个体工商户性质，是我行零售获客经营的优质目标客户；</w:t>
      </w:r>
    </w:p>
    <w:p w:rsidR="00290B72" w:rsidRDefault="004E3416">
      <w:pPr>
        <w:snapToGrid w:val="0"/>
        <w:ind w:firstLineChars="200" w:firstLine="560"/>
        <w:rPr>
          <w:rFonts w:ascii="仿宋" w:eastAsia="仿宋" w:hAnsi="仿宋"/>
          <w:color w:val="000000"/>
          <w:sz w:val="28"/>
          <w:szCs w:val="28"/>
        </w:rPr>
      </w:pPr>
      <w:r>
        <w:rPr>
          <w:rFonts w:ascii="仿宋" w:eastAsia="仿宋" w:hAnsi="仿宋"/>
          <w:color w:val="000000"/>
          <w:sz w:val="28"/>
          <w:szCs w:val="28"/>
        </w:rPr>
        <w:t>（4）出于到账时效及手续费成本考虑，买方登记簿充值方式优先采用银行账户转账充值方式，同时辅以其他线上支付充值方式（全付通、POS、网关支付等），因此需开通转账入金功能；</w:t>
      </w:r>
    </w:p>
    <w:p w:rsidR="00290B72" w:rsidRDefault="004E3416">
      <w:pPr>
        <w:snapToGrid w:val="0"/>
        <w:ind w:firstLineChars="200" w:firstLine="560"/>
        <w:rPr>
          <w:rFonts w:ascii="仿宋" w:eastAsia="仿宋" w:hAnsi="仿宋"/>
          <w:color w:val="000000"/>
          <w:sz w:val="28"/>
          <w:szCs w:val="28"/>
        </w:rPr>
      </w:pPr>
      <w:r>
        <w:rPr>
          <w:rFonts w:ascii="仿宋" w:eastAsia="仿宋" w:hAnsi="仿宋"/>
          <w:color w:val="000000"/>
          <w:sz w:val="28"/>
          <w:szCs w:val="28"/>
        </w:rPr>
        <w:t>（5）需开通资金划转功能，实现经销商登记簿向XX子公司登记簿的货款支付；</w:t>
      </w:r>
    </w:p>
    <w:p w:rsidR="00290B72" w:rsidRDefault="004E3416">
      <w:pPr>
        <w:snapToGrid w:val="0"/>
        <w:ind w:firstLineChars="200" w:firstLine="562"/>
        <w:rPr>
          <w:rFonts w:ascii="仿宋" w:eastAsia="仿宋" w:hAnsi="仿宋"/>
          <w:b/>
          <w:bCs/>
          <w:color w:val="000000"/>
          <w:sz w:val="28"/>
          <w:szCs w:val="28"/>
        </w:rPr>
      </w:pPr>
      <w:r>
        <w:rPr>
          <w:rFonts w:ascii="仿宋" w:eastAsia="仿宋" w:hAnsi="仿宋"/>
          <w:b/>
          <w:bCs/>
          <w:color w:val="000000"/>
          <w:sz w:val="28"/>
          <w:szCs w:val="28"/>
        </w:rPr>
        <w:t>三、业务收益分析</w:t>
      </w:r>
    </w:p>
    <w:p w:rsidR="00290B72" w:rsidRDefault="004E3416">
      <w:pPr>
        <w:snapToGrid w:val="0"/>
        <w:ind w:firstLineChars="300" w:firstLine="840"/>
        <w:rPr>
          <w:rFonts w:ascii="仿宋" w:eastAsia="仿宋" w:hAnsi="仿宋"/>
          <w:color w:val="000000"/>
          <w:sz w:val="28"/>
          <w:szCs w:val="28"/>
        </w:rPr>
      </w:pPr>
      <w:r>
        <w:rPr>
          <w:rFonts w:ascii="仿宋" w:eastAsia="仿宋" w:hAnsi="仿宋"/>
          <w:color w:val="000000"/>
          <w:sz w:val="28"/>
          <w:szCs w:val="28"/>
        </w:rPr>
        <w:t>1、零售存款沉淀</w:t>
      </w:r>
    </w:p>
    <w:p w:rsidR="00290B72" w:rsidRDefault="004E3416">
      <w:pPr>
        <w:snapToGrid w:val="0"/>
        <w:ind w:firstLineChars="300" w:firstLine="840"/>
        <w:rPr>
          <w:rFonts w:ascii="仿宋" w:eastAsia="仿宋" w:hAnsi="仿宋"/>
          <w:color w:val="000000"/>
          <w:sz w:val="28"/>
          <w:szCs w:val="28"/>
        </w:rPr>
      </w:pPr>
      <w:r>
        <w:rPr>
          <w:rFonts w:ascii="仿宋" w:eastAsia="仿宋" w:hAnsi="仿宋"/>
          <w:color w:val="000000"/>
          <w:sz w:val="28"/>
          <w:szCs w:val="28"/>
        </w:rPr>
        <w:t>目前初步计划使用银行内部账户作为本项目平台交易资金账户，客户目前单日订单量约800笔，每日交易额约为2000-3000万元，保守按每个经销商预留2天预付款测算，则平台交易资金账户零售日均存款规模约为5000万元。且此为相对保守测算，随着业务模式的逐步稳定以及平台规模的不断扩大，存款沉淀规模将会进一步增加。</w:t>
      </w:r>
    </w:p>
    <w:p w:rsidR="00290B72" w:rsidRDefault="004E3416">
      <w:pPr>
        <w:snapToGrid w:val="0"/>
        <w:ind w:firstLineChars="300" w:firstLine="840"/>
        <w:rPr>
          <w:rFonts w:ascii="仿宋" w:eastAsia="仿宋" w:hAnsi="仿宋"/>
          <w:color w:val="000000"/>
          <w:sz w:val="28"/>
          <w:szCs w:val="28"/>
        </w:rPr>
      </w:pPr>
      <w:r>
        <w:rPr>
          <w:rFonts w:ascii="仿宋" w:eastAsia="仿宋" w:hAnsi="仿宋"/>
          <w:color w:val="000000"/>
          <w:sz w:val="28"/>
          <w:szCs w:val="28"/>
        </w:rPr>
        <w:lastRenderedPageBreak/>
        <w:t>2、对公存款获取</w:t>
      </w:r>
    </w:p>
    <w:p w:rsidR="00290B72" w:rsidRDefault="004E3416">
      <w:pPr>
        <w:snapToGrid w:val="0"/>
        <w:ind w:firstLineChars="300" w:firstLine="840"/>
        <w:rPr>
          <w:rFonts w:ascii="仿宋" w:eastAsia="仿宋" w:hAnsi="仿宋"/>
          <w:color w:val="000000"/>
          <w:sz w:val="28"/>
          <w:szCs w:val="28"/>
        </w:rPr>
      </w:pPr>
      <w:r>
        <w:rPr>
          <w:rFonts w:ascii="仿宋" w:eastAsia="仿宋" w:hAnsi="仿宋"/>
          <w:color w:val="000000"/>
          <w:sz w:val="28"/>
          <w:szCs w:val="28"/>
        </w:rPr>
        <w:t>经与客户沟通，企业承诺在我行项目落地后，集团及全部子公司使用我行账户作为资金归集账户。企业目前所有银行账户的结算性货币资金超过3.9 亿元，未来这部分结算存款将逐步转入我行，企业承诺在第一年日均存款达到2 亿元、第二、三年分别达到2.5 亿元、3亿元。项目成熟后，企业与我行将达成长期合作，后续收益更加可观。</w:t>
      </w:r>
    </w:p>
    <w:p w:rsidR="00290B72" w:rsidRDefault="004E3416">
      <w:pPr>
        <w:snapToGrid w:val="0"/>
        <w:ind w:firstLineChars="300" w:firstLine="840"/>
        <w:rPr>
          <w:rFonts w:ascii="仿宋" w:eastAsia="仿宋" w:hAnsi="仿宋"/>
          <w:color w:val="000000"/>
          <w:sz w:val="28"/>
          <w:szCs w:val="28"/>
        </w:rPr>
      </w:pPr>
      <w:r>
        <w:rPr>
          <w:rFonts w:ascii="仿宋" w:eastAsia="仿宋" w:hAnsi="仿宋"/>
          <w:color w:val="000000"/>
          <w:sz w:val="28"/>
          <w:szCs w:val="28"/>
        </w:rPr>
        <w:t>3、零售获客带动</w:t>
      </w:r>
    </w:p>
    <w:p w:rsidR="00290B72" w:rsidRDefault="004E3416">
      <w:pPr>
        <w:snapToGrid w:val="0"/>
        <w:ind w:firstLineChars="300" w:firstLine="840"/>
        <w:rPr>
          <w:rFonts w:ascii="仿宋" w:eastAsia="仿宋" w:hAnsi="仿宋"/>
          <w:color w:val="000000"/>
          <w:sz w:val="28"/>
          <w:szCs w:val="28"/>
        </w:rPr>
      </w:pPr>
      <w:r>
        <w:rPr>
          <w:rFonts w:ascii="仿宋" w:eastAsia="仿宋" w:hAnsi="仿宋"/>
          <w:color w:val="000000"/>
          <w:sz w:val="28"/>
          <w:szCs w:val="28"/>
        </w:rPr>
        <w:t>目前企业下游长期合作的经销商约6000个，为活跃在各地市场的商品禽类批发商，绝大部分为个体工商户性质，且均具备较强的资金实力，是我行优质的零售目标客户。本项目成功落地后，分行将通过此项目联动营销，通过系统支持、营销配合及服务嵌入等方式，转化下游经销商开通我行借记卡、成为我行零售客户，最大限度提高对零售板块的收益贡献。</w:t>
      </w:r>
    </w:p>
    <w:p w:rsidR="00290B72" w:rsidRDefault="004E3416">
      <w:pPr>
        <w:snapToGrid w:val="0"/>
        <w:ind w:firstLineChars="300" w:firstLine="840"/>
        <w:rPr>
          <w:rFonts w:ascii="仿宋" w:eastAsia="仿宋" w:hAnsi="仿宋"/>
          <w:color w:val="000000"/>
          <w:sz w:val="28"/>
          <w:szCs w:val="28"/>
        </w:rPr>
      </w:pPr>
      <w:r>
        <w:rPr>
          <w:rFonts w:ascii="仿宋" w:eastAsia="仿宋" w:hAnsi="仿宋"/>
          <w:color w:val="000000"/>
          <w:sz w:val="28"/>
          <w:szCs w:val="28"/>
        </w:rPr>
        <w:t>4.其他未来带动效益分析</w:t>
      </w:r>
    </w:p>
    <w:p w:rsidR="00290B72" w:rsidRDefault="004E3416">
      <w:pPr>
        <w:snapToGrid w:val="0"/>
        <w:ind w:firstLineChars="300" w:firstLine="840"/>
        <w:rPr>
          <w:rFonts w:ascii="仿宋" w:eastAsia="仿宋" w:hAnsi="仿宋"/>
          <w:color w:val="000000"/>
          <w:sz w:val="28"/>
          <w:szCs w:val="28"/>
        </w:rPr>
      </w:pPr>
      <w:r>
        <w:rPr>
          <w:rFonts w:ascii="仿宋" w:eastAsia="仿宋" w:hAnsi="仿宋"/>
          <w:color w:val="000000"/>
          <w:sz w:val="28"/>
          <w:szCs w:val="28"/>
        </w:rPr>
        <w:t>(1)企业实际控制人拟近期在我行开立个人账户及三方存管，进行投资理财，预计总金额超过3000 万元。</w:t>
      </w:r>
    </w:p>
    <w:p w:rsidR="00290B72" w:rsidRDefault="004E3416">
      <w:pPr>
        <w:snapToGrid w:val="0"/>
        <w:ind w:firstLineChars="300" w:firstLine="840"/>
        <w:rPr>
          <w:rFonts w:ascii="仿宋" w:eastAsia="仿宋" w:hAnsi="仿宋"/>
          <w:color w:val="000000"/>
          <w:sz w:val="28"/>
          <w:szCs w:val="28"/>
        </w:rPr>
      </w:pPr>
      <w:r>
        <w:rPr>
          <w:rFonts w:ascii="仿宋" w:eastAsia="仿宋" w:hAnsi="仿宋"/>
          <w:color w:val="000000"/>
          <w:sz w:val="28"/>
          <w:szCs w:val="28"/>
        </w:rPr>
        <w:t>(2)企业上市后在我行开立了用于并购、投资的基本账户，如能通过本项目给予企业长期支持，未来并购投资业务会优先选择与我行合作，给我行带来其他衍生存款及收益。</w:t>
      </w:r>
    </w:p>
    <w:p w:rsidR="00290B72" w:rsidRDefault="004E3416">
      <w:pPr>
        <w:snapToGrid w:val="0"/>
        <w:ind w:firstLineChars="300" w:firstLine="840"/>
        <w:rPr>
          <w:rFonts w:ascii="仿宋" w:eastAsia="仿宋" w:hAnsi="仿宋"/>
          <w:color w:val="000000"/>
          <w:sz w:val="28"/>
          <w:szCs w:val="28"/>
        </w:rPr>
      </w:pPr>
      <w:r>
        <w:rPr>
          <w:rFonts w:ascii="仿宋" w:eastAsia="仿宋" w:hAnsi="仿宋"/>
          <w:color w:val="000000"/>
          <w:sz w:val="28"/>
          <w:szCs w:val="28"/>
        </w:rPr>
        <w:t>(3)企业授信申报获批后将优先提用我行授信，带来利息收入、授信派生的存款收入等其他收益。</w:t>
      </w:r>
    </w:p>
    <w:p w:rsidR="00290B72" w:rsidRDefault="004E3416">
      <w:pPr>
        <w:snapToGrid w:val="0"/>
        <w:ind w:firstLineChars="200" w:firstLine="562"/>
        <w:rPr>
          <w:rFonts w:ascii="仿宋" w:eastAsia="仿宋" w:hAnsi="仿宋"/>
          <w:b/>
          <w:bCs/>
          <w:color w:val="000000"/>
          <w:sz w:val="28"/>
          <w:szCs w:val="28"/>
        </w:rPr>
      </w:pPr>
      <w:r>
        <w:rPr>
          <w:rFonts w:ascii="仿宋" w:eastAsia="仿宋" w:hAnsi="仿宋"/>
          <w:b/>
          <w:bCs/>
          <w:color w:val="000000"/>
          <w:sz w:val="28"/>
          <w:szCs w:val="28"/>
        </w:rPr>
        <w:t>四、业务风险分析</w:t>
      </w:r>
    </w:p>
    <w:p w:rsidR="00290B72" w:rsidRDefault="004E3416">
      <w:pPr>
        <w:snapToGrid w:val="0"/>
        <w:ind w:firstLineChars="300" w:firstLine="840"/>
        <w:rPr>
          <w:rFonts w:ascii="仿宋" w:eastAsia="仿宋" w:hAnsi="仿宋"/>
          <w:color w:val="000000"/>
          <w:sz w:val="28"/>
          <w:szCs w:val="28"/>
        </w:rPr>
      </w:pPr>
      <w:r>
        <w:rPr>
          <w:rFonts w:ascii="仿宋" w:eastAsia="仿宋" w:hAnsi="仿宋" w:hint="eastAsia"/>
          <w:color w:val="000000"/>
          <w:sz w:val="28"/>
          <w:szCs w:val="28"/>
        </w:rPr>
        <w:t>青岛文化产权交易中心</w:t>
      </w:r>
      <w:r>
        <w:rPr>
          <w:rFonts w:ascii="仿宋" w:eastAsia="仿宋" w:hAnsi="仿宋"/>
          <w:color w:val="000000"/>
          <w:sz w:val="28"/>
          <w:szCs w:val="28"/>
        </w:rPr>
        <w:t>目前经营状况极好，盈利能力强，资金储备雄厚。尽管目前由于新冠疫情的蔓延，企业受到了一定的影响，回款能力有所下降，但从长期及历史经验来看，突发式的疫情，往往会导致散户及中小型企业产生更大的亏损，从而会进一步加剧行业的集中度，给</w:t>
      </w:r>
      <w:r>
        <w:rPr>
          <w:rFonts w:ascii="仿宋" w:eastAsia="仿宋" w:hAnsi="仿宋" w:hint="eastAsia"/>
          <w:color w:val="000000"/>
          <w:sz w:val="28"/>
          <w:szCs w:val="28"/>
        </w:rPr>
        <w:t>青岛文化产权交易中心</w:t>
      </w:r>
      <w:r>
        <w:rPr>
          <w:rFonts w:ascii="仿宋" w:eastAsia="仿宋" w:hAnsi="仿宋"/>
          <w:color w:val="000000"/>
          <w:sz w:val="28"/>
          <w:szCs w:val="28"/>
        </w:rPr>
        <w:t>这种规模较大、产业齐全的大型企业带来未来的市场空间。同时，企业积极采取有效措施应为本次疫情，目前来看，本次疫情对企业影响有限，不会对我行合作业务造成较大影响。</w:t>
      </w:r>
    </w:p>
    <w:p w:rsidR="00290B72" w:rsidRDefault="004E3416">
      <w:pPr>
        <w:snapToGrid w:val="0"/>
        <w:ind w:firstLineChars="200" w:firstLine="560"/>
        <w:rPr>
          <w:rFonts w:ascii="仿宋" w:eastAsia="仿宋" w:hAnsi="仿宋"/>
          <w:color w:val="000000"/>
          <w:sz w:val="28"/>
          <w:szCs w:val="28"/>
        </w:rPr>
      </w:pPr>
      <w:r>
        <w:rPr>
          <w:rFonts w:ascii="仿宋" w:eastAsia="仿宋" w:hAnsi="仿宋"/>
          <w:color w:val="000000"/>
          <w:sz w:val="28"/>
          <w:szCs w:val="28"/>
        </w:rPr>
        <w:t>综上所述，与</w:t>
      </w:r>
      <w:r>
        <w:rPr>
          <w:rFonts w:ascii="仿宋" w:eastAsia="仿宋" w:hAnsi="仿宋" w:hint="eastAsia"/>
          <w:color w:val="000000"/>
          <w:sz w:val="28"/>
          <w:szCs w:val="28"/>
        </w:rPr>
        <w:t>青岛文化产权交易中心</w:t>
      </w:r>
      <w:r>
        <w:rPr>
          <w:rFonts w:ascii="仿宋" w:eastAsia="仿宋" w:hAnsi="仿宋"/>
          <w:color w:val="000000"/>
          <w:sz w:val="28"/>
          <w:szCs w:val="28"/>
        </w:rPr>
        <w:t>有限公司开展e管家业务合作，符合总行产品的相关政策和要求，合作客户具备相应的市场地位和实力，同时该项目可为我行带来非常可观的零售及对公存款，并对零售获客等其他业务产生较大的促进作用。XX分行将严格按照总行针对e管家业务准入和操作的相关管理要求，严控业务相关风险，稳健合规发展业务，恳请总行批准此合作事项。</w:t>
      </w:r>
    </w:p>
    <w:p w:rsidR="00290B72" w:rsidRDefault="004E3416">
      <w:pPr>
        <w:snapToGrid w:val="0"/>
        <w:ind w:firstLine="570"/>
        <w:rPr>
          <w:rFonts w:ascii="仿宋" w:eastAsia="仿宋" w:hAnsi="仿宋"/>
          <w:color w:val="000000"/>
          <w:sz w:val="28"/>
          <w:szCs w:val="28"/>
        </w:rPr>
      </w:pPr>
      <w:r>
        <w:rPr>
          <w:rFonts w:ascii="仿宋" w:eastAsia="仿宋" w:hAnsi="仿宋"/>
          <w:color w:val="000000"/>
          <w:sz w:val="28"/>
          <w:szCs w:val="28"/>
        </w:rPr>
        <w:t>妥否，请总行批示。</w:t>
      </w:r>
    </w:p>
    <w:p w:rsidR="00290B72" w:rsidRDefault="00290B72">
      <w:pPr>
        <w:snapToGrid w:val="0"/>
        <w:spacing w:line="600" w:lineRule="exact"/>
        <w:ind w:firstLineChars="200" w:firstLine="640"/>
        <w:rPr>
          <w:rFonts w:ascii="仿宋" w:eastAsia="仿宋" w:hAnsi="仿宋"/>
          <w:color w:val="000000"/>
          <w:sz w:val="32"/>
          <w:szCs w:val="32"/>
        </w:rPr>
      </w:pPr>
    </w:p>
    <w:p w:rsidR="00290B72" w:rsidRDefault="00290B72">
      <w:pPr>
        <w:snapToGrid w:val="0"/>
        <w:spacing w:line="600" w:lineRule="exact"/>
        <w:ind w:firstLineChars="200" w:firstLine="640"/>
        <w:rPr>
          <w:rFonts w:ascii="仿宋" w:eastAsia="仿宋" w:hAnsi="仿宋"/>
          <w:color w:val="000000"/>
          <w:sz w:val="32"/>
          <w:szCs w:val="32"/>
        </w:rPr>
      </w:pPr>
    </w:p>
    <w:p w:rsidR="00290B72" w:rsidRDefault="004E3416">
      <w:pPr>
        <w:snapToGrid w:val="0"/>
        <w:spacing w:line="600" w:lineRule="exact"/>
        <w:ind w:firstLineChars="200" w:firstLine="560"/>
        <w:rPr>
          <w:rFonts w:ascii="仿宋" w:eastAsia="仿宋" w:hAnsi="仿宋"/>
          <w:color w:val="000000"/>
          <w:sz w:val="28"/>
          <w:szCs w:val="28"/>
        </w:rPr>
      </w:pPr>
      <w:r>
        <w:rPr>
          <w:rFonts w:ascii="仿宋" w:eastAsia="仿宋" w:hAnsi="仿宋"/>
          <w:color w:val="000000"/>
          <w:sz w:val="28"/>
          <w:szCs w:val="28"/>
        </w:rPr>
        <w:t>附件：1.客户营业执照、法人身份证、ICP备案证明</w:t>
      </w:r>
    </w:p>
    <w:p w:rsidR="00290B72" w:rsidRDefault="004E3416">
      <w:pPr>
        <w:snapToGrid w:val="0"/>
        <w:spacing w:line="600" w:lineRule="exact"/>
        <w:ind w:firstLineChars="200" w:firstLine="560"/>
        <w:rPr>
          <w:rFonts w:ascii="仿宋" w:eastAsia="仿宋" w:hAnsi="仿宋"/>
          <w:color w:val="000000"/>
          <w:sz w:val="28"/>
          <w:szCs w:val="28"/>
        </w:rPr>
      </w:pPr>
      <w:r>
        <w:rPr>
          <w:rFonts w:ascii="仿宋" w:eastAsia="仿宋" w:hAnsi="仿宋"/>
          <w:color w:val="000000"/>
          <w:sz w:val="28"/>
          <w:szCs w:val="28"/>
        </w:rPr>
        <w:t xml:space="preserve">      2.《中信银行e管家客户信息调查表》</w:t>
      </w:r>
    </w:p>
    <w:p w:rsidR="00290B72" w:rsidRDefault="00290B72">
      <w:pPr>
        <w:snapToGrid w:val="0"/>
        <w:ind w:firstLine="570"/>
        <w:rPr>
          <w:rFonts w:ascii="仿宋" w:eastAsia="仿宋" w:hAnsi="仿宋"/>
          <w:color w:val="000000"/>
          <w:sz w:val="28"/>
          <w:szCs w:val="28"/>
        </w:rPr>
      </w:pPr>
    </w:p>
    <w:p w:rsidR="00290B72" w:rsidRDefault="00290B72">
      <w:pPr>
        <w:snapToGrid w:val="0"/>
        <w:rPr>
          <w:rFonts w:ascii="仿宋" w:eastAsia="仿宋" w:hAnsi="仿宋"/>
          <w:color w:val="000000"/>
          <w:sz w:val="28"/>
          <w:szCs w:val="28"/>
        </w:rPr>
      </w:pPr>
    </w:p>
    <w:p w:rsidR="00290B72" w:rsidRDefault="004E3416">
      <w:pPr>
        <w:snapToGrid w:val="0"/>
        <w:jc w:val="right"/>
        <w:rPr>
          <w:rFonts w:ascii="仿宋" w:eastAsia="仿宋" w:hAnsi="仿宋"/>
          <w:color w:val="000000"/>
          <w:sz w:val="28"/>
          <w:szCs w:val="28"/>
        </w:rPr>
      </w:pPr>
      <w:r>
        <w:rPr>
          <w:rFonts w:ascii="仿宋" w:eastAsia="仿宋" w:hAnsi="仿宋"/>
          <w:color w:val="000000"/>
          <w:sz w:val="28"/>
          <w:szCs w:val="28"/>
        </w:rPr>
        <w:t>XX分行电子银行部</w:t>
      </w:r>
    </w:p>
    <w:p w:rsidR="00290B72" w:rsidRDefault="004E3416">
      <w:pPr>
        <w:snapToGrid w:val="0"/>
        <w:jc w:val="right"/>
        <w:rPr>
          <w:rFonts w:ascii="仿宋" w:eastAsia="仿宋" w:hAnsi="仿宋"/>
          <w:color w:val="000000"/>
          <w:sz w:val="28"/>
          <w:szCs w:val="28"/>
        </w:rPr>
      </w:pPr>
      <w:r>
        <w:rPr>
          <w:rFonts w:ascii="仿宋" w:eastAsia="仿宋" w:hAnsi="仿宋"/>
          <w:color w:val="000000"/>
          <w:sz w:val="28"/>
          <w:szCs w:val="28"/>
        </w:rPr>
        <w:t>X年X月X日</w:t>
      </w:r>
    </w:p>
    <w:p w:rsidR="00290B72" w:rsidRDefault="00290B72">
      <w:pPr>
        <w:snapToGrid w:val="0"/>
        <w:jc w:val="left"/>
        <w:rPr>
          <w:rFonts w:ascii="微软雅黑" w:eastAsia="微软雅黑" w:hAnsi="微软雅黑"/>
          <w:color w:val="000000"/>
          <w:szCs w:val="21"/>
        </w:rPr>
      </w:pPr>
    </w:p>
    <w:sectPr w:rsidR="00290B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CEE" w:rsidRDefault="00EF1CEE" w:rsidP="004E3416">
      <w:r>
        <w:separator/>
      </w:r>
    </w:p>
  </w:endnote>
  <w:endnote w:type="continuationSeparator" w:id="0">
    <w:p w:rsidR="00EF1CEE" w:rsidRDefault="00EF1CEE" w:rsidP="004E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方正小标宋简体">
    <w:altName w:val="Arial Unicode MS"/>
    <w:panose1 w:val="03000509000000000000"/>
    <w:charset w:val="86"/>
    <w:family w:val="script"/>
    <w:pitch w:val="fixed"/>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ACF3C50" w:usb2="00000016" w:usb3="00000000" w:csb0="0004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CEE" w:rsidRDefault="00EF1CEE" w:rsidP="004E3416">
      <w:r>
        <w:separator/>
      </w:r>
    </w:p>
  </w:footnote>
  <w:footnote w:type="continuationSeparator" w:id="0">
    <w:p w:rsidR="00EF1CEE" w:rsidRDefault="00EF1CEE" w:rsidP="004E3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092B84"/>
    <w:multiLevelType w:val="multilevel"/>
    <w:tmpl w:val="CF092B84"/>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abstractNum w:abstractNumId="1">
    <w:nsid w:val="0053208E"/>
    <w:multiLevelType w:val="multilevel"/>
    <w:tmpl w:val="0053208E"/>
    <w:lvl w:ilvl="0">
      <w:start w:val="1"/>
      <w:numFmt w:val="bullet"/>
      <w:lvlText w:val=""/>
      <w:lvlJc w:val="left"/>
      <w:pPr>
        <w:ind w:left="420" w:hanging="420"/>
      </w:pPr>
      <w:rPr>
        <w:rFonts w:ascii="Wingdings" w:eastAsia="Wingdings" w:hAnsi="Wingdings" w:hint="default"/>
        <w:bCs/>
      </w:rPr>
    </w:lvl>
    <w:lvl w:ilvl="1">
      <w:start w:val="1"/>
      <w:numFmt w:val="bullet"/>
      <w:lvlText w:val=""/>
      <w:lvlJc w:val="left"/>
      <w:pPr>
        <w:ind w:left="840" w:hanging="420"/>
      </w:pPr>
      <w:rPr>
        <w:rFonts w:ascii="Wingdings" w:eastAsia="Wingdings" w:hAnsi="Wingdings" w:hint="default"/>
        <w:bCs/>
      </w:rPr>
    </w:lvl>
    <w:lvl w:ilvl="2">
      <w:start w:val="1"/>
      <w:numFmt w:val="bullet"/>
      <w:lvlText w:val=""/>
      <w:lvlJc w:val="left"/>
      <w:pPr>
        <w:ind w:left="1260" w:hanging="420"/>
      </w:pPr>
      <w:rPr>
        <w:rFonts w:ascii="Wingdings" w:eastAsia="Wingdings" w:hAnsi="Wingdings" w:hint="default"/>
        <w:bCs/>
      </w:rPr>
    </w:lvl>
    <w:lvl w:ilvl="3">
      <w:start w:val="1"/>
      <w:numFmt w:val="bullet"/>
      <w:lvlText w:val=""/>
      <w:lvlJc w:val="left"/>
      <w:pPr>
        <w:ind w:left="1680" w:hanging="420"/>
      </w:pPr>
      <w:rPr>
        <w:rFonts w:ascii="Wingdings" w:eastAsia="Wingdings" w:hAnsi="Wingdings" w:hint="default"/>
        <w:bCs/>
      </w:rPr>
    </w:lvl>
    <w:lvl w:ilvl="4">
      <w:start w:val="1"/>
      <w:numFmt w:val="bullet"/>
      <w:lvlText w:val=""/>
      <w:lvlJc w:val="left"/>
      <w:pPr>
        <w:ind w:left="2100" w:hanging="420"/>
      </w:pPr>
      <w:rPr>
        <w:rFonts w:ascii="Wingdings" w:eastAsia="Wingdings" w:hAnsi="Wingdings" w:hint="default"/>
        <w:bCs/>
      </w:rPr>
    </w:lvl>
    <w:lvl w:ilvl="5">
      <w:start w:val="1"/>
      <w:numFmt w:val="bullet"/>
      <w:lvlText w:val=""/>
      <w:lvlJc w:val="left"/>
      <w:pPr>
        <w:ind w:left="2520" w:hanging="420"/>
      </w:pPr>
      <w:rPr>
        <w:rFonts w:ascii="Wingdings" w:eastAsia="Wingdings" w:hAnsi="Wingdings" w:hint="default"/>
        <w:bCs/>
      </w:rPr>
    </w:lvl>
    <w:lvl w:ilvl="6">
      <w:start w:val="1"/>
      <w:numFmt w:val="bullet"/>
      <w:lvlText w:val=""/>
      <w:lvlJc w:val="left"/>
      <w:pPr>
        <w:ind w:left="2940" w:hanging="420"/>
      </w:pPr>
      <w:rPr>
        <w:rFonts w:ascii="Wingdings" w:eastAsia="Wingdings" w:hAnsi="Wingdings" w:hint="default"/>
        <w:bCs/>
      </w:rPr>
    </w:lvl>
    <w:lvl w:ilvl="7">
      <w:start w:val="1"/>
      <w:numFmt w:val="bullet"/>
      <w:lvlText w:val=""/>
      <w:lvlJc w:val="left"/>
      <w:pPr>
        <w:ind w:left="3360" w:hanging="420"/>
      </w:pPr>
      <w:rPr>
        <w:rFonts w:ascii="Wingdings" w:eastAsia="Wingdings" w:hAnsi="Wingdings" w:hint="default"/>
        <w:bCs/>
      </w:rPr>
    </w:lvl>
    <w:lvl w:ilvl="8">
      <w:start w:val="1"/>
      <w:numFmt w:val="bullet"/>
      <w:lvlText w:val=""/>
      <w:lvlJc w:val="left"/>
      <w:pPr>
        <w:ind w:left="3780" w:hanging="420"/>
      </w:pPr>
      <w:rPr>
        <w:rFonts w:ascii="Wingdings" w:eastAsia="Wingdings" w:hAnsi="Wingdings" w:hint="default"/>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zNjI0MDY0MjUwNmUyZDE2ZTc2ZTE4Y2I3YzAyNDMifQ=="/>
  </w:docVars>
  <w:rsids>
    <w:rsidRoot w:val="00BA0C1A"/>
    <w:rsid w:val="000B4EE4"/>
    <w:rsid w:val="000C51B7"/>
    <w:rsid w:val="00216EB9"/>
    <w:rsid w:val="00290B72"/>
    <w:rsid w:val="004E3416"/>
    <w:rsid w:val="0059531B"/>
    <w:rsid w:val="00616505"/>
    <w:rsid w:val="0062213C"/>
    <w:rsid w:val="00633F40"/>
    <w:rsid w:val="006549AD"/>
    <w:rsid w:val="00684D9C"/>
    <w:rsid w:val="00A60633"/>
    <w:rsid w:val="00BA0C1A"/>
    <w:rsid w:val="00C061CB"/>
    <w:rsid w:val="00C604EC"/>
    <w:rsid w:val="00E26251"/>
    <w:rsid w:val="00EA1EE8"/>
    <w:rsid w:val="00EF1CEE"/>
    <w:rsid w:val="00F53662"/>
    <w:rsid w:val="083D07F0"/>
    <w:rsid w:val="105E3B74"/>
    <w:rsid w:val="1C2C4424"/>
    <w:rsid w:val="1CD54CE6"/>
    <w:rsid w:val="1DEC38DC"/>
    <w:rsid w:val="30456175"/>
    <w:rsid w:val="36772279"/>
    <w:rsid w:val="434067C1"/>
    <w:rsid w:val="568D20C3"/>
    <w:rsid w:val="6CE46881"/>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BA4E36-0915-4620-A6D6-FF6D2856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spacing w:beforeAutospacing="1" w:afterAutospacing="1"/>
      <w:jc w:val="left"/>
    </w:pPr>
    <w:rPr>
      <w:rFonts w:cs="Times New Roman"/>
      <w:kern w:val="0"/>
      <w:sz w:val="24"/>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6A50600D-7F30-4B62-AF60-79FB639D63A6}">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435</Words>
  <Characters>2484</Characters>
  <Application>Microsoft Office Word</Application>
  <DocSecurity>0</DocSecurity>
  <Lines>20</Lines>
  <Paragraphs>5</Paragraphs>
  <ScaleCrop>false</ScaleCrop>
  <Company>Microsoft</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吕涛</cp:lastModifiedBy>
  <cp:revision>10</cp:revision>
  <dcterms:created xsi:type="dcterms:W3CDTF">2017-01-10T09:10:00Z</dcterms:created>
  <dcterms:modified xsi:type="dcterms:W3CDTF">2023-08-04T00:37:00Z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A5760F249EF84A0E9B2B16E4B47A2290</vt:lpwstr>
  </property>
</Properties>
</file>